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4824133"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4090035" cy="8851265"/>
            <wp:effectExtent l="0" t="0" r="5715" b="6985"/>
            <wp:docPr id="1" name="图片 1" descr="湘潭县融媒体中心 新媒体融合报道 产业“莲”通致富路--“竹”梦前行 看茶恩寺“竹海”何以变“金山”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湘潭县融媒体中心 新媒体融合报道 产业“莲”通致富路--“竹”梦前行 看茶恩寺“竹海”何以变“金山”截图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90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55331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2026-03-02T03:08:32Z</dcterms:created>
  <dc:creator>WANG</dc:creator>
  <cp:lastModifiedBy>琳子</cp:lastModifiedBy>
  <dcterms:modified xsi:type="dcterms:W3CDTF">2026-03-02T03:08:59Z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eyJoZGlkIjoiYmZlOGQ2YWRkYWY4N2VmMmJiMWExM2FhNTcwYjBlMzYiLCJ1c2VySWQiOiI2NzEzNDgyMTQifQ==</vt:lpwstr>
  </property>
  <property fmtid="{D5CDD505-2E9C-101B-9397-08002B2CF9AE}" pid="4" name="ICV">
    <vt:lpwstr>348F3275C95341D0B095C8764F030ADE_12</vt:lpwstr>
  </property>
</Properties>
</file>